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6A82B8B4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747119">
        <w:rPr>
          <w:rFonts w:ascii="Times New Roman" w:eastAsia="Times New Roman" w:hAnsi="Times New Roman"/>
        </w:rPr>
        <w:t>Measurement Data and Data Representations</w:t>
      </w:r>
      <w:r w:rsidR="00A244D6" w:rsidRPr="00F358D9">
        <w:rPr>
          <w:rFonts w:ascii="Times New Roman" w:hAnsi="Times New Roman"/>
        </w:rPr>
        <w:t xml:space="preserve"> – Unit </w:t>
      </w:r>
      <w:r w:rsidR="00747119">
        <w:rPr>
          <w:rFonts w:ascii="Times New Roman" w:hAnsi="Times New Roman"/>
        </w:rPr>
        <w:t>4</w:t>
      </w:r>
      <w:r w:rsidR="00A244D6" w:rsidRPr="00F358D9">
        <w:rPr>
          <w:rFonts w:ascii="Times New Roman" w:hAnsi="Times New Roman"/>
        </w:rPr>
        <w:t xml:space="preserve"> – Module </w:t>
      </w:r>
      <w:r w:rsidR="00747119">
        <w:rPr>
          <w:rFonts w:ascii="Times New Roman" w:eastAsia="Times New Roman" w:hAnsi="Times New Roman"/>
        </w:rPr>
        <w:t>A</w:t>
      </w:r>
    </w:p>
    <w:p w14:paraId="12AE012C" w14:textId="52422A39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747119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BCC8DD1" w14:textId="77777777" w:rsidR="005D293F" w:rsidRDefault="005D293F" w:rsidP="005D293F"/>
    <w:p w14:paraId="7F903403" w14:textId="28D1F6DE" w:rsidR="005D293F" w:rsidRDefault="008F138E" w:rsidP="008F138E">
      <w:pPr>
        <w:pStyle w:val="Standard"/>
        <w:spacing w:after="20" w:line="240" w:lineRule="auto"/>
        <w:ind w:left="270" w:hanging="270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54F47926" wp14:editId="41D87A20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D68E0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Yodw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44c8LS&#10;FS2QfozUWgVJUC233gNGQpfNzTZEhQm11oeSgpf+EXstkJgg2Gu06U/DsX1G+jAgrfaRSTocj64u&#10;J0QNSaZepizFS7DHEL8psCwJFdeppwyw2N2F2PkefVIxB4vGGDoXpXGspaxXo4v+elXmQR+W+u46&#10;zVI8GNUF/VCacEi95TqZgWpukO0EcUdIqVwcp8mpS+PIO4VpKjoEfn4/sPdPoV1XQ/Dk/eAhIlcG&#10;F4dg2zjAtxKYoWXd+VP7J3MncQX1gSiA0O1G8HLREOZ3IsRHgbQMtDa04PGBPtoAQQu9xNkG8Pdb&#10;58mfOEpWzlparoqHX1uBijPz3RF7r8bn52kbs3J+cTkhBU8tq1OL29o50B0QJam7LCb/aI6iRrDP&#10;9A7MUlUyCSepdsVlxKMyj93S00si1WyW3WgDvYh3bunl8dYTpZ72zwJ9T7xIjL2H4yKK8hX9Ot90&#10;Hw5m2wi6ydx8wbXHm7Y3E6d/adLzcKpnr5f3cPoHAAD//wMAUEsDBBQABgAIAAAAIQDgFqEp2QAA&#10;AAMBAAAPAAAAZHJzL2Rvd25yZXYueG1sTI9BS8NAEIXvQv/DMgVvdlNLYkmzKUWwQqiHVn/AJDsm&#10;wexszG7a+O/d6kEv8xje8N432XYynTjT4FrLCpaLCARxZXXLtYK316e7NQjnkTV2lknBFznY5rOb&#10;DFNtL3yk88nXIoSwS1FB432fSumqhgy6he2Jg/duB4M+rEMt9YCXEG46eR9FiTTYcmhosKfHhqqP&#10;02gUlFzHh6T43O/jYnWIn8dkfCkKpW7n024DwtPk/47hih/QIQ9MpR1ZO9EpCI/4n3n1HlYgyl+V&#10;eSb/s+ffAAAA//8DAFBLAQItABQABgAIAAAAIQC2gziS/gAAAOEBAAATAAAAAAAAAAAAAAAAAAAA&#10;AABbQ29udGVudF9UeXBlc10ueG1sUEsBAi0AFAAGAAgAAAAhADj9If/WAAAAlAEAAAsAAAAAAAAA&#10;AAAAAAAALwEAAF9yZWxzLy5yZWxzUEsBAi0AFAAGAAgAAAAhADl5tih3AgAAVwUAAA4AAAAAAAAA&#10;AAAAAAAALgIAAGRycy9lMm9Eb2MueG1sUEsBAi0AFAAGAAgAAAAhAOAWoSnZAAAAAwEAAA8AAAAA&#10;AAAAAAAAAAAA0QQAAGRycy9kb3ducmV2LnhtbFBLBQYAAAAABAAEAPMAAADX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2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2.MD.D.9</w:t>
      </w:r>
      <w:r w:rsidR="005D2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Generate measurement data by measuring lengths of several objects to the nearest whole unit, or by making repeated measurements of</w:t>
      </w:r>
      <w:r>
        <w:t xml:space="preserve"> </w:t>
      </w:r>
      <w:r w:rsidR="005D293F">
        <w:rPr>
          <w:rFonts w:ascii="Times New Roman" w:eastAsia="Times New Roman" w:hAnsi="Times New Roman" w:cs="Times New Roman"/>
          <w:color w:val="000000"/>
          <w:sz w:val="24"/>
          <w:szCs w:val="24"/>
        </w:rPr>
        <w:t>the same object. Show the measurements by making a line plot, where the horizontal scale is marked off in whole-number units.</w:t>
      </w:r>
    </w:p>
    <w:p w14:paraId="5AC611AE" w14:textId="0BA97CE7" w:rsidR="005D293F" w:rsidRDefault="008F138E" w:rsidP="008F138E">
      <w:pPr>
        <w:pStyle w:val="Standard"/>
        <w:spacing w:after="20" w:line="240" w:lineRule="auto"/>
        <w:ind w:left="270" w:hanging="270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68F8652E" wp14:editId="1C4E874E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79343C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2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2.MD.D.10</w:t>
      </w:r>
      <w:r w:rsidR="005D2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Draw a picture graph and a bar graph (with single-unit scale) to represent a data set with up to four categories. Solve simple put</w:t>
      </w:r>
      <w:r>
        <w:t xml:space="preserve"> </w:t>
      </w:r>
      <w:r w:rsidR="005D293F">
        <w:rPr>
          <w:rFonts w:ascii="Times New Roman" w:eastAsia="Times New Roman" w:hAnsi="Times New Roman" w:cs="Times New Roman"/>
          <w:color w:val="000000"/>
          <w:sz w:val="24"/>
          <w:szCs w:val="24"/>
        </w:rPr>
        <w:t>together, take-apart, and compare problems using information presented in a bar graph.</w:t>
      </w:r>
    </w:p>
    <w:p w14:paraId="6E4BD813" w14:textId="553CCD29" w:rsidR="005D293F" w:rsidRDefault="008F138E" w:rsidP="008F138E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387428C" wp14:editId="5710E2B4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426C0A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2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2.MD.B.5</w:t>
      </w:r>
      <w:r w:rsidR="005D2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addition and subtraction within 100 to solve word problems involving lengths that are given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same units, e.g., by using </w:t>
      </w:r>
      <w:r w:rsidR="005D293F">
        <w:rPr>
          <w:rFonts w:ascii="Times New Roman" w:eastAsia="Times New Roman" w:hAnsi="Times New Roman" w:cs="Times New Roman"/>
          <w:color w:val="000000"/>
          <w:sz w:val="24"/>
          <w:szCs w:val="24"/>
        </w:rPr>
        <w:t>drawings (such as drawings of rulers) and equations with a symbol for the unknown to represent the problem.</w:t>
      </w:r>
    </w:p>
    <w:p w14:paraId="0686B32B" w14:textId="50227705" w:rsidR="005D293F" w:rsidRDefault="008F138E" w:rsidP="008F138E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49E6F39" wp14:editId="5D1DC33C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61ADC8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2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2.NBT.B.5</w:t>
      </w:r>
      <w:r w:rsidR="005D2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add and subtract within 100 using strategies based on place value, properties of operations, and/or the relationship between</w:t>
      </w:r>
      <w:r>
        <w:t xml:space="preserve"> </w:t>
      </w:r>
      <w:r w:rsidR="005D293F">
        <w:rPr>
          <w:rFonts w:ascii="Times New Roman" w:eastAsia="Times New Roman" w:hAnsi="Times New Roman" w:cs="Times New Roman"/>
          <w:color w:val="000000"/>
          <w:sz w:val="24"/>
          <w:szCs w:val="24"/>
        </w:rPr>
        <w:t>addition and subtraction.</w:t>
      </w:r>
    </w:p>
    <w:p w14:paraId="1169417A" w14:textId="7BF3B98E" w:rsidR="005D293F" w:rsidRPr="005D293F" w:rsidRDefault="008F138E" w:rsidP="008F138E">
      <w:pPr>
        <w:ind w:left="270" w:hanging="270"/>
      </w:pP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43088CBD" wp14:editId="3A0C10F7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E3379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29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2.OA.B.2</w:t>
      </w:r>
      <w:r w:rsidR="005D2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add and subtract within 20 using mental strategies. By end of Grade 2, know from memory all sums of two one-digit numbers.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33604E30" w14:textId="77777777" w:rsidR="00B6645A" w:rsidRPr="008C17FD" w:rsidRDefault="00B6645A" w:rsidP="008C17FD">
      <w:bookmarkStart w:id="0" w:name="_GoBack"/>
      <w:bookmarkEnd w:id="0"/>
    </w:p>
    <w:p w14:paraId="6E6D4FEB" w14:textId="669669A8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10A46075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0D1513E4" w14:textId="7CA8CBD2" w:rsidR="00B6645A" w:rsidRDefault="00B6645A">
      <w:r>
        <w:br w:type="page"/>
      </w:r>
    </w:p>
    <w:p w14:paraId="72A027C1" w14:textId="77777777" w:rsidR="00B6645A" w:rsidRPr="00B6645A" w:rsidRDefault="00B6645A" w:rsidP="00B6645A"/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770C0C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270BE31A" w:rsidR="00770C0C" w:rsidRPr="00770C0C" w:rsidRDefault="00770C0C" w:rsidP="00770C0C">
            <w:pPr>
              <w:spacing w:after="240"/>
              <w:rPr>
                <w:rFonts w:ascii="Times New Roman" w:hAnsi="Times New Roman" w:cs="Times New Roman"/>
              </w:rPr>
            </w:pPr>
            <w:r w:rsidRPr="00E17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2.MD.D.9 – WALT </w:t>
            </w:r>
            <w:r w:rsidRPr="00E1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generate measurement data by measuring lengths, to the nearest whole unit, of several objects</w:t>
            </w:r>
          </w:p>
        </w:tc>
        <w:tc>
          <w:tcPr>
            <w:tcW w:w="2878" w:type="dxa"/>
          </w:tcPr>
          <w:p w14:paraId="569A3B3F" w14:textId="34B37ECD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70C0C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0E1415D9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17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2.MD.D.9 – WALT </w:t>
            </w:r>
            <w:r w:rsidRPr="00E1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generate measurement data by measuring the same object multiple times</w:t>
            </w:r>
          </w:p>
        </w:tc>
        <w:tc>
          <w:tcPr>
            <w:tcW w:w="2878" w:type="dxa"/>
          </w:tcPr>
          <w:p w14:paraId="31EFE459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70C0C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396CF32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17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2.MD.D.9 – WALT </w:t>
            </w:r>
            <w:r w:rsidRPr="00E1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record measurements in a line plot whose horizontal scale is in whole number units</w:t>
            </w:r>
          </w:p>
        </w:tc>
        <w:tc>
          <w:tcPr>
            <w:tcW w:w="2878" w:type="dxa"/>
          </w:tcPr>
          <w:p w14:paraId="010B0DB9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70C0C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3B976ED5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17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2.MD.D.10 – WALT</w:t>
            </w:r>
            <w:r w:rsidRPr="00E1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draw a picture graph to represent a data set with up to four categories</w:t>
            </w:r>
          </w:p>
        </w:tc>
        <w:tc>
          <w:tcPr>
            <w:tcW w:w="2878" w:type="dxa"/>
          </w:tcPr>
          <w:p w14:paraId="7970C1A2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70C0C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3B83A7AA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17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2.MD.D.10 – WALT</w:t>
            </w:r>
            <w:r w:rsidRPr="00E1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draw a bar graph to represent a data set with up to four categories</w:t>
            </w:r>
          </w:p>
        </w:tc>
        <w:tc>
          <w:tcPr>
            <w:tcW w:w="2878" w:type="dxa"/>
          </w:tcPr>
          <w:p w14:paraId="06A5CCCC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70C0C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44C3E6C5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17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2.MD.D.10 – WALT</w:t>
            </w:r>
            <w:r w:rsidRPr="00E1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information from a bar graph to solve simple put together, take-apart, and compare problems</w:t>
            </w:r>
          </w:p>
        </w:tc>
        <w:tc>
          <w:tcPr>
            <w:tcW w:w="2878" w:type="dxa"/>
          </w:tcPr>
          <w:p w14:paraId="11EB0F8F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70C0C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2A78EE62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17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2.MD.B.5 – WALT </w:t>
            </w:r>
            <w:r w:rsidRPr="00E1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and subtract within 100 to solve word problems that involve lengths of the same units</w:t>
            </w:r>
          </w:p>
        </w:tc>
        <w:tc>
          <w:tcPr>
            <w:tcW w:w="2878" w:type="dxa"/>
          </w:tcPr>
          <w:p w14:paraId="1C8B8373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70C0C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7C5DDEC5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17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2.MD.B.5 – WALT </w:t>
            </w:r>
            <w:r w:rsidRPr="00E1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equations with a symbol for the unknown and drawings, such as drawings of rulers, to represent the problem</w:t>
            </w:r>
          </w:p>
        </w:tc>
        <w:tc>
          <w:tcPr>
            <w:tcW w:w="2878" w:type="dxa"/>
          </w:tcPr>
          <w:p w14:paraId="730BE2E5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70C0C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38381C1C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17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2.NBT.B.5 – WALT</w:t>
            </w:r>
            <w:r w:rsidRPr="00E1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add and subtract within 100 using strategies based on place value, properties of operations, and/or the relationship between addition and subtraction, with accuracy and efficiency</w:t>
            </w:r>
          </w:p>
        </w:tc>
        <w:tc>
          <w:tcPr>
            <w:tcW w:w="2878" w:type="dxa"/>
          </w:tcPr>
          <w:p w14:paraId="17AAF5DB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70C0C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5B9B316A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17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2.OA.B.2 – WALT </w:t>
            </w:r>
            <w:r w:rsidRPr="00E1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and subtract within 20 with accuracy and efficiency</w:t>
            </w:r>
          </w:p>
        </w:tc>
        <w:tc>
          <w:tcPr>
            <w:tcW w:w="2878" w:type="dxa"/>
          </w:tcPr>
          <w:p w14:paraId="0A9583FF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70C0C" w:rsidRPr="0056576B" w14:paraId="506DA0C1" w14:textId="77777777" w:rsidTr="00751F34">
        <w:trPr>
          <w:trHeight w:val="1349"/>
        </w:trPr>
        <w:tc>
          <w:tcPr>
            <w:tcW w:w="2878" w:type="dxa"/>
          </w:tcPr>
          <w:p w14:paraId="6D373326" w14:textId="18BCF9BC" w:rsidR="00770C0C" w:rsidRPr="00E17576" w:rsidRDefault="00770C0C" w:rsidP="00770C0C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5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2.OA.B.2 – WALT </w:t>
            </w:r>
            <w:r w:rsidRPr="00E1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 from memory all sums of two one-digit numbers</w:t>
            </w:r>
          </w:p>
        </w:tc>
        <w:tc>
          <w:tcPr>
            <w:tcW w:w="2878" w:type="dxa"/>
          </w:tcPr>
          <w:p w14:paraId="79B218C9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06DCB15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F14CC67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BF27B35" w14:textId="77777777" w:rsidR="00770C0C" w:rsidRPr="0056576B" w:rsidRDefault="00770C0C" w:rsidP="00770C0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05DA27B7" w14:textId="77777777" w:rsidR="00B6645A" w:rsidRDefault="00B6645A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052209AF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60E7C" w14:textId="77777777" w:rsidR="00D30A5D" w:rsidRDefault="00D30A5D" w:rsidP="002E2912">
      <w:pPr>
        <w:spacing w:after="0" w:line="240" w:lineRule="auto"/>
      </w:pPr>
      <w:r>
        <w:separator/>
      </w:r>
    </w:p>
  </w:endnote>
  <w:endnote w:type="continuationSeparator" w:id="0">
    <w:p w14:paraId="2B1E9E92" w14:textId="77777777" w:rsidR="00D30A5D" w:rsidRDefault="00D30A5D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366659B3" w:rsidR="003F6042" w:rsidRDefault="003F6042" w:rsidP="003F6042">
    <w:pPr>
      <w:pStyle w:val="Footer"/>
    </w:pPr>
    <w:r>
      <w:t>CAR_Mathematics-Gr.</w:t>
    </w:r>
    <w:r w:rsidR="00D8617F">
      <w:t>2</w:t>
    </w:r>
    <w:r>
      <w:t xml:space="preserve">-Unit </w:t>
    </w:r>
    <w:r w:rsidR="00D8617F">
      <w:t>4</w:t>
    </w:r>
    <w:r>
      <w:t xml:space="preserve">-Module </w:t>
    </w:r>
    <w:r w:rsidR="00D8617F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CFB41" w14:textId="77777777" w:rsidR="00D30A5D" w:rsidRDefault="00D30A5D" w:rsidP="002E2912">
      <w:pPr>
        <w:spacing w:after="0" w:line="240" w:lineRule="auto"/>
      </w:pPr>
      <w:r>
        <w:separator/>
      </w:r>
    </w:p>
  </w:footnote>
  <w:footnote w:type="continuationSeparator" w:id="0">
    <w:p w14:paraId="516F6A59" w14:textId="77777777" w:rsidR="00D30A5D" w:rsidRDefault="00D30A5D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72C1A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D293F"/>
    <w:rsid w:val="005F3DD1"/>
    <w:rsid w:val="0060757B"/>
    <w:rsid w:val="00640ADB"/>
    <w:rsid w:val="00680847"/>
    <w:rsid w:val="00680862"/>
    <w:rsid w:val="00686315"/>
    <w:rsid w:val="00686645"/>
    <w:rsid w:val="006D6D6F"/>
    <w:rsid w:val="00707D79"/>
    <w:rsid w:val="00747119"/>
    <w:rsid w:val="00751F34"/>
    <w:rsid w:val="00753EDB"/>
    <w:rsid w:val="00756604"/>
    <w:rsid w:val="00770C0C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C17FD"/>
    <w:rsid w:val="008E2274"/>
    <w:rsid w:val="008F138E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6645A"/>
    <w:rsid w:val="00B86739"/>
    <w:rsid w:val="00D2140D"/>
    <w:rsid w:val="00D30A5D"/>
    <w:rsid w:val="00D42ED9"/>
    <w:rsid w:val="00D61E4D"/>
    <w:rsid w:val="00D8617F"/>
    <w:rsid w:val="00E47D15"/>
    <w:rsid w:val="00E71955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5D293F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9</cp:revision>
  <dcterms:created xsi:type="dcterms:W3CDTF">2019-08-15T14:23:00Z</dcterms:created>
  <dcterms:modified xsi:type="dcterms:W3CDTF">2019-08-19T17:00:00Z</dcterms:modified>
</cp:coreProperties>
</file>